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943E8" w:rsidRPr="00C943E8" w:rsidTr="004E359F">
        <w:trPr>
          <w:cantSplit/>
          <w:trHeight w:val="408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sz w:val="16"/>
                <w:szCs w:val="14"/>
                <w:lang w:eastAsia="en-US"/>
              </w:rPr>
            </w:pPr>
            <w:r w:rsidRPr="00C943E8">
              <w:rPr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C943E8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943E8" w:rsidRPr="00C943E8" w:rsidTr="004E359F">
        <w:trPr>
          <w:cantSplit/>
          <w:trHeight w:val="109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C943E8" w:rsidRPr="00C943E8" w:rsidRDefault="00C943E8" w:rsidP="00C943E8">
      <w:pPr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6"/>
          <w:szCs w:val="6"/>
        </w:rPr>
      </w:pPr>
    </w:p>
    <w:p w:rsidR="00C943E8" w:rsidRDefault="00C943E8" w:rsidP="00C943E8">
      <w:pPr>
        <w:jc w:val="center"/>
        <w:rPr>
          <w:b/>
          <w:sz w:val="28"/>
          <w:szCs w:val="28"/>
        </w:rPr>
      </w:pPr>
    </w:p>
    <w:p w:rsidR="00B97867" w:rsidRDefault="00B97867" w:rsidP="00C943E8">
      <w:pPr>
        <w:jc w:val="center"/>
        <w:rPr>
          <w:b/>
          <w:sz w:val="28"/>
          <w:szCs w:val="28"/>
        </w:rPr>
      </w:pPr>
    </w:p>
    <w:p w:rsidR="00B97867" w:rsidRPr="00C943E8" w:rsidRDefault="00B97867" w:rsidP="00C943E8">
      <w:pPr>
        <w:jc w:val="center"/>
        <w:rPr>
          <w:b/>
          <w:sz w:val="28"/>
          <w:szCs w:val="28"/>
        </w:rPr>
      </w:pPr>
    </w:p>
    <w:p w:rsidR="004E359F" w:rsidRDefault="004E359F" w:rsidP="001571A6">
      <w:pPr>
        <w:spacing w:line="360" w:lineRule="auto"/>
        <w:ind w:firstLine="6237"/>
        <w:jc w:val="both"/>
      </w:pPr>
      <w:r>
        <w:t>УТВЕРЖДАЮ</w:t>
      </w:r>
    </w:p>
    <w:p w:rsidR="004E359F" w:rsidRDefault="006E7562" w:rsidP="001571A6">
      <w:pPr>
        <w:spacing w:line="360" w:lineRule="auto"/>
        <w:jc w:val="right"/>
      </w:pPr>
      <w:r>
        <w:t>Директор ОТИ НИЯУ МИФИ</w:t>
      </w:r>
    </w:p>
    <w:p w:rsidR="004E359F" w:rsidRDefault="004E359F" w:rsidP="001571A6">
      <w:pPr>
        <w:spacing w:line="360" w:lineRule="auto"/>
        <w:jc w:val="right"/>
      </w:pPr>
      <w:r>
        <w:t>_____________</w:t>
      </w:r>
      <w:r w:rsidR="006E7562">
        <w:t xml:space="preserve"> И.А. Иванов</w:t>
      </w:r>
    </w:p>
    <w:p w:rsidR="004862DE" w:rsidRDefault="004862DE" w:rsidP="001571A6">
      <w:pPr>
        <w:spacing w:line="360" w:lineRule="auto"/>
        <w:jc w:val="right"/>
      </w:pPr>
      <w:r>
        <w:t>«___» ___</w:t>
      </w:r>
      <w:r w:rsidR="006E7562">
        <w:t>____</w:t>
      </w:r>
      <w:r>
        <w:t>______2021 г.</w:t>
      </w:r>
    </w:p>
    <w:p w:rsidR="00C943E8" w:rsidRPr="00C943E8" w:rsidRDefault="00C943E8" w:rsidP="001571A6">
      <w:pPr>
        <w:spacing w:line="360" w:lineRule="auto"/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6E7562" w:rsidRPr="00BF4763" w:rsidRDefault="006E7562" w:rsidP="006E7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6E7562" w:rsidRPr="00BF4763" w:rsidRDefault="006E7562" w:rsidP="006E7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E7562" w:rsidRPr="00BF4763" w:rsidRDefault="006E7562" w:rsidP="006E7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6E7562" w:rsidRPr="00BF4763" w:rsidRDefault="006E7562" w:rsidP="006E75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E7562" w:rsidRPr="00087070" w:rsidRDefault="006E7562" w:rsidP="006E7562">
      <w:pPr>
        <w:jc w:val="center"/>
        <w:rPr>
          <w:sz w:val="28"/>
          <w:szCs w:val="28"/>
        </w:rPr>
      </w:pPr>
      <w:r w:rsidRPr="00087070">
        <w:rPr>
          <w:sz w:val="28"/>
          <w:szCs w:val="28"/>
        </w:rPr>
        <w:t>ОГСЭ.0</w:t>
      </w:r>
      <w:r>
        <w:rPr>
          <w:sz w:val="28"/>
          <w:szCs w:val="28"/>
        </w:rPr>
        <w:t>6</w:t>
      </w:r>
      <w:r w:rsidRPr="00087070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культура</w:t>
      </w:r>
    </w:p>
    <w:p w:rsidR="006E7562" w:rsidRPr="00BF4763" w:rsidRDefault="006E7562" w:rsidP="006E7562">
      <w:pPr>
        <w:jc w:val="center"/>
        <w:rPr>
          <w:sz w:val="28"/>
          <w:szCs w:val="28"/>
        </w:rPr>
      </w:pPr>
    </w:p>
    <w:p w:rsidR="006E7562" w:rsidRPr="00BF4763" w:rsidRDefault="006E7562" w:rsidP="006E7562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6E7562" w:rsidRPr="00BF4763" w:rsidRDefault="006E7562" w:rsidP="006E7562">
      <w:pPr>
        <w:jc w:val="center"/>
        <w:rPr>
          <w:sz w:val="28"/>
          <w:szCs w:val="28"/>
        </w:rPr>
      </w:pPr>
    </w:p>
    <w:p w:rsidR="006E7562" w:rsidRPr="0074165D" w:rsidRDefault="006E7562" w:rsidP="006E7562">
      <w:pPr>
        <w:jc w:val="center"/>
        <w:rPr>
          <w:sz w:val="28"/>
          <w:szCs w:val="28"/>
        </w:rPr>
      </w:pPr>
      <w:r w:rsidRPr="0074165D">
        <w:rPr>
          <w:sz w:val="28"/>
          <w:szCs w:val="28"/>
        </w:rPr>
        <w:t>18.02.03 Химическая технология неорганических веществ</w:t>
      </w: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ind w:firstLine="708"/>
        <w:jc w:val="right"/>
        <w:rPr>
          <w:sz w:val="28"/>
          <w:szCs w:val="28"/>
        </w:rPr>
      </w:pPr>
    </w:p>
    <w:p w:rsidR="00C943E8" w:rsidRPr="00C943E8" w:rsidRDefault="00C943E8" w:rsidP="00C943E8">
      <w:pPr>
        <w:spacing w:line="360" w:lineRule="auto"/>
        <w:rPr>
          <w:sz w:val="20"/>
          <w:szCs w:val="20"/>
        </w:rPr>
      </w:pPr>
    </w:p>
    <w:p w:rsidR="00B97867" w:rsidRDefault="00B97867" w:rsidP="00C943E8">
      <w:pPr>
        <w:jc w:val="center"/>
        <w:rPr>
          <w:b/>
          <w:sz w:val="28"/>
          <w:szCs w:val="28"/>
        </w:rPr>
      </w:pPr>
    </w:p>
    <w:p w:rsidR="001571A6" w:rsidRDefault="001571A6" w:rsidP="00C943E8">
      <w:pPr>
        <w:jc w:val="center"/>
        <w:rPr>
          <w:b/>
          <w:sz w:val="28"/>
          <w:szCs w:val="28"/>
        </w:rPr>
      </w:pPr>
    </w:p>
    <w:p w:rsidR="001571A6" w:rsidRDefault="001571A6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6E7562" w:rsidRDefault="00C943E8" w:rsidP="00B97867">
      <w:pPr>
        <w:jc w:val="center"/>
        <w:rPr>
          <w:b/>
        </w:rPr>
      </w:pPr>
      <w:r w:rsidRPr="006E7562">
        <w:rPr>
          <w:sz w:val="28"/>
          <w:szCs w:val="28"/>
        </w:rPr>
        <w:t>2021 г.</w:t>
      </w:r>
      <w:r w:rsidR="006E7562">
        <w:rPr>
          <w:b/>
        </w:rPr>
        <w:br w:type="page"/>
      </w: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Tr="004E359F">
        <w:tc>
          <w:tcPr>
            <w:tcW w:w="4121" w:type="dxa"/>
            <w:hideMark/>
          </w:tcPr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4E359F" w:rsidRDefault="004E359F" w:rsidP="004E359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</w:p>
          <w:p w:rsidR="004E359F" w:rsidRDefault="006E7562" w:rsidP="006E7562">
            <w:pPr>
              <w:ind w:left="-12"/>
              <w:jc w:val="both"/>
              <w:rPr>
                <w:lang w:eastAsia="en-US"/>
              </w:rPr>
            </w:pPr>
            <w:r>
              <w:rPr>
                <w:sz w:val="20"/>
              </w:rPr>
              <w:t>22 апреля 2014 г. № 385</w:t>
            </w: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lastRenderedPageBreak/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B23401">
        <w:rPr>
          <w:color w:val="000000"/>
        </w:rPr>
        <w:t>Минобрнауки</w:t>
      </w:r>
      <w:proofErr w:type="spellEnd"/>
      <w:r w:rsidRPr="00B23401">
        <w:rPr>
          <w:color w:val="000000"/>
        </w:rPr>
        <w:t xml:space="preserve">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 xml:space="preserve">системой профессионально и </w:t>
      </w:r>
      <w:proofErr w:type="gramStart"/>
      <w:r w:rsidRPr="00A00B35">
        <w:t>жизненно значимых практических умений</w:t>
      </w:r>
      <w:proofErr w:type="gramEnd"/>
      <w:r w:rsidRPr="00A00B35">
        <w:t xml:space="preserve">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 xml:space="preserve">Раздел 4. </w:t>
            </w:r>
            <w:proofErr w:type="spellStart"/>
            <w:r w:rsidRPr="009630D5">
              <w:rPr>
                <w:b/>
              </w:rPr>
              <w:t>Футзал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</w:t>
            </w:r>
            <w:proofErr w:type="spellStart"/>
            <w:r w:rsidRPr="003D2D47">
              <w:rPr>
                <w:b/>
              </w:rPr>
              <w:t>Футзал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</w:t>
      </w:r>
      <w:proofErr w:type="spellStart"/>
      <w:r w:rsidRPr="00AF48AF">
        <w:t>саморегуляция</w:t>
      </w:r>
      <w:proofErr w:type="spellEnd"/>
      <w:r w:rsidRPr="00AF48AF">
        <w:t xml:space="preserve">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Здоровье: образ, уровень, качество и стиль жизни; дееспособность, трудоспособность; </w:t>
      </w:r>
      <w:proofErr w:type="spellStart"/>
      <w:r w:rsidRPr="00AF48AF">
        <w:t>саморегуляция</w:t>
      </w:r>
      <w:proofErr w:type="spellEnd"/>
      <w:r w:rsidRPr="00AF48AF">
        <w:t>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Содержание:</w:t>
      </w:r>
      <w:r w:rsidRPr="00AF48AF">
        <w:t xml:space="preserve"> Наиболее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</w:t>
      </w:r>
      <w:proofErr w:type="spellStart"/>
      <w:r w:rsidRPr="00AF48AF">
        <w:t>внеучебной</w:t>
      </w:r>
      <w:proofErr w:type="spellEnd"/>
      <w:r w:rsidRPr="00AF48AF">
        <w:t xml:space="preserve">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 xml:space="preserve">Решетников Н. В., </w:t>
      </w:r>
      <w:proofErr w:type="spellStart"/>
      <w:r w:rsidRPr="001C0625">
        <w:t>Кислицын</w:t>
      </w:r>
      <w:proofErr w:type="spellEnd"/>
      <w:r w:rsidRPr="001C0625">
        <w:t xml:space="preserve"> Ю. Л.</w:t>
      </w:r>
      <w:r>
        <w:t>,</w:t>
      </w:r>
      <w:proofErr w:type="spellStart"/>
      <w:r>
        <w:t>Палтиевич</w:t>
      </w:r>
      <w:proofErr w:type="spellEnd"/>
      <w:r>
        <w:t xml:space="preserve"> Р.Л., </w:t>
      </w:r>
      <w:proofErr w:type="spellStart"/>
      <w:r>
        <w:t>Погадаев</w:t>
      </w:r>
      <w:proofErr w:type="spellEnd"/>
      <w:r>
        <w:t xml:space="preserve">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</w:t>
      </w:r>
      <w:proofErr w:type="spellStart"/>
      <w:r>
        <w:t>М.:Издательский</w:t>
      </w:r>
      <w:proofErr w:type="spellEnd"/>
      <w:r>
        <w:t xml:space="preserve">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10000 советов. Бодибилдинг/Авт.- сост. </w:t>
      </w:r>
      <w:proofErr w:type="spellStart"/>
      <w:r w:rsidRPr="001C0625">
        <w:t>Бухаров</w:t>
      </w:r>
      <w:proofErr w:type="spellEnd"/>
      <w:r w:rsidRPr="001C0625">
        <w:t xml:space="preserve"> Е. Ф., </w:t>
      </w:r>
      <w:proofErr w:type="spellStart"/>
      <w:r w:rsidRPr="001C0625">
        <w:t>Альциванович</w:t>
      </w:r>
      <w:proofErr w:type="spellEnd"/>
      <w:r w:rsidRPr="001C0625">
        <w:t xml:space="preserve"> К. К. – М.:АСТ, Мн.: </w:t>
      </w:r>
      <w:proofErr w:type="spellStart"/>
      <w:r w:rsidRPr="001C0625">
        <w:t>Харвест</w:t>
      </w:r>
      <w:proofErr w:type="spellEnd"/>
      <w:r w:rsidRPr="001C0625">
        <w:t>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proofErr w:type="spellStart"/>
      <w:r w:rsidRPr="001C0625">
        <w:t>Гилев</w:t>
      </w:r>
      <w:proofErr w:type="spellEnd"/>
      <w:r w:rsidRPr="001C0625">
        <w:t xml:space="preserve">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207EC"/>
    <w:rsid w:val="001571A6"/>
    <w:rsid w:val="003D3081"/>
    <w:rsid w:val="004862DE"/>
    <w:rsid w:val="004E359F"/>
    <w:rsid w:val="006E7562"/>
    <w:rsid w:val="009E44AD"/>
    <w:rsid w:val="00B97867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5900CD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4927</Words>
  <Characters>28090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Administrator</cp:lastModifiedBy>
  <cp:revision>6</cp:revision>
  <dcterms:created xsi:type="dcterms:W3CDTF">2021-11-25T07:28:00Z</dcterms:created>
  <dcterms:modified xsi:type="dcterms:W3CDTF">2022-02-26T09:12:00Z</dcterms:modified>
</cp:coreProperties>
</file>